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8218C8" w:rsidRDefault="00F838DF" w:rsidP="00F838DF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15121C" wp14:editId="56E9CB18">
            <wp:extent cx="6229350" cy="3197225"/>
            <wp:effectExtent l="0" t="0" r="0" b="3175"/>
            <wp:docPr id="1" name="Рисунок 1" descr="C:\Users\User\Desktop\Новая папка\ГОРЯЧИИ ЛИНИИ 2021\ГЛ ДЕТСКИЙ ОТДЫХ\для памятки детский отды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Новая папка\ГОРЯЧИИ ЛИНИИ 2021\ГЛ ДЕТСКИЙ ОТДЫХ\для памятки детский отды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Pr="00C872C0" w:rsidRDefault="00F27EDE" w:rsidP="00F27EDE">
      <w:pPr>
        <w:shd w:val="clear" w:color="auto" w:fill="F4F4F4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Потребителю на заметку! Качественный и безопасный детский отдых!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Что необходимо знать, чтобы обеспечить качественный и безопасный отдых детям?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ищете услуги в Интернете…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нашли интересное предложение услуги на сайте исполнителя и, имеете намерение заказать услугу, рекомендуем: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об исполнителе (указание формы собственности, адреса, телефона, электронной почты);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 предложенной услуге, уточнить информацию в случае возникших вопросов;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lastRenderedPageBreak/>
        <w:t>- сделать скрин-шот страницы, на которой указаны условия оказания услуги и цена;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уточнить: кто является получателем денег за предложенную услугу (получателем денег может быть только индивидуальный предприниматель или организация, объявленные на сайте в качестве исполнителя услуги. Предложение перевода денег на карту частного лица ставит услугу в разряд «сомнительных»);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получить и сохранить документ, подтверждающий оплату услуги.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Не рекомендуем! Заказывать услуги в Интернете, когда при самых невероятных и замечательных предложениях будет представлен только контактный телефон без объявления исполнителя, его реквизитов. В этом случае оплатить услугу будет предложено переводом денег на карту N-го гражданина. При неоказании услуги, вы можете столкнуться с тем, что контактный телефон отключен, карта заблокирована. Предъявлять требование возврата денег будет некому!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Обратить внимание! Если услуга приобретается и оплачивается в месте ее оказания (парк аттракционов, катание на катерах, яхтах; пешеходные, конные и иные виды прогулок; экскурсионные услуги и проч.) необходимо ознакомиться с правилами ее безопасного пользования. У каждой услуги есть специфические особенности ее оказания, в том числе ограничения по возрасту, здоровью, росту, весу; сведения об основных технических характеристиках услуги и тд.   Данная информация должна быть указана на информационных стендах либо информационных материалах, прилагаемых к договору об оказании услуги (вместо договора может быть квитанция, билет либо иной документ, содержащий информацию об исполнителе, услуге, ее стоимости).</w:t>
      </w:r>
    </w:p>
    <w:p w:rsid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838DF" w:rsidRDefault="00F838DF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838DF" w:rsidRDefault="00F838DF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27EDE" w:rsidRP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  <w:r w:rsidRPr="00C872C0">
        <w:rPr>
          <w:sz w:val="22"/>
          <w:szCs w:val="22"/>
        </w:rPr>
        <w:t> Внимание! Отказаться от услуги!</w:t>
      </w:r>
    </w:p>
    <w:tbl>
      <w:tblPr>
        <w:tblpPr w:leftFromText="180" w:rightFromText="180" w:vertAnchor="text" w:horzAnchor="margin" w:tblpXSpec="center" w:tblpY="170"/>
        <w:tblW w:w="138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  <w:gridCol w:w="4819"/>
      </w:tblGrid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нарушены сроки оказания услуги</w:t>
            </w:r>
          </w:p>
        </w:tc>
        <w:tc>
          <w:tcPr>
            <w:tcW w:w="467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услуга оказана с недостатком</w:t>
            </w:r>
          </w:p>
        </w:tc>
        <w:tc>
          <w:tcPr>
            <w:tcW w:w="4819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В случае добровольного отказа от услуги</w:t>
            </w:r>
          </w:p>
        </w:tc>
      </w:tr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28 Закона РФ «О защите прав потребителей»: назначить исполнителю новый срок; поручить оказание услуги третьим лицам и потребовать от исполнителя возмещения понесенных расходов; потребовать уменьшения цены за оказание услуги; отказаться от исполнения договора   и потребовать вернуть деньги. </w:t>
            </w:r>
          </w:p>
        </w:tc>
        <w:tc>
          <w:tcPr>
            <w:tcW w:w="4670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29 Закона РФ «О защите прав потребителей»: безвозмездного устранения недостатков оказанной услуги; соответствующего уменьшения цены услуги; возмещения понесенных расходов по устранению недостатков оказанной услуги своими силами или третьими лицами.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Потребитель вправе отказаться от исполнения договора и потребовать полного возмещения убытков: а) при нарушении срока устранения недостатков; б) наличию существенных недостатков услуги.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Заявить право ст. 32 Закона РФ «О защите прав потребителей»: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7EDE" w:rsidRPr="00C872C0" w:rsidTr="00F27EDE">
        <w:trPr>
          <w:trHeight w:val="40"/>
          <w:tblCellSpacing w:w="0" w:type="dxa"/>
        </w:trPr>
        <w:tc>
          <w:tcPr>
            <w:tcW w:w="13883" w:type="dxa"/>
            <w:gridSpan w:val="3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lastRenderedPageBreak/>
              <w:t>Рекомендуем!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обращаться к исполнителю письменно;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сохранять копию обращения с отметкой исполнителя (число, фамилия, подпись, печать).</w:t>
            </w:r>
          </w:p>
        </w:tc>
      </w:tr>
    </w:tbl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Безопасность услуги!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С одной стороны, безопасность услуги обеспечивает исполнитель путем соблюдения всех технических и нормативных требований безопасности и предоставлением всей необходимой информации для потребителей о правилах поведения при пользовании услугой.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С другой стороны, и потребитель обязан: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соблюдать правила, предписанные исполнителем;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перед пользованием услугой оценить критерии ограничений;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контролировать поведение детей при пользовании услугой; не оставлять детей без присмотра в процессе оказания услуги.</w:t>
      </w:r>
    </w:p>
    <w:p w:rsidR="00F27EDE" w:rsidRPr="00F27EDE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В противном случае, даже самые яркие впечатления не смогут компенсировать возможные последствия пренебрежения собственной безопасностью.</w:t>
      </w:r>
    </w:p>
    <w:sectPr w:rsidR="00F27EDE" w:rsidRPr="00F27EDE" w:rsidSect="00F27EDE">
      <w:headerReference w:type="default" r:id="rId9"/>
      <w:pgSz w:w="16838" w:h="11906" w:orient="landscape"/>
      <w:pgMar w:top="127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66" w:rsidRDefault="00194E66" w:rsidP="00F27EDE">
      <w:pPr>
        <w:spacing w:after="0" w:line="240" w:lineRule="auto"/>
      </w:pPr>
      <w:r>
        <w:separator/>
      </w:r>
    </w:p>
  </w:endnote>
  <w:endnote w:type="continuationSeparator" w:id="0">
    <w:p w:rsidR="00194E66" w:rsidRDefault="00194E66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66" w:rsidRDefault="00194E66" w:rsidP="00F27EDE">
      <w:pPr>
        <w:spacing w:after="0" w:line="240" w:lineRule="auto"/>
      </w:pPr>
      <w:r>
        <w:separator/>
      </w:r>
    </w:p>
  </w:footnote>
  <w:footnote w:type="continuationSeparator" w:id="0">
    <w:p w:rsidR="00194E66" w:rsidRDefault="00194E66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4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F838DF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94E66"/>
    <w:rsid w:val="001A60FF"/>
    <w:rsid w:val="001B2D09"/>
    <w:rsid w:val="001E3152"/>
    <w:rsid w:val="001F3C68"/>
    <w:rsid w:val="002309ED"/>
    <w:rsid w:val="00273051"/>
    <w:rsid w:val="002970F4"/>
    <w:rsid w:val="003165A1"/>
    <w:rsid w:val="00316EF4"/>
    <w:rsid w:val="00352232"/>
    <w:rsid w:val="004439D8"/>
    <w:rsid w:val="00460AF7"/>
    <w:rsid w:val="00461FCE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218C8"/>
    <w:rsid w:val="00857099"/>
    <w:rsid w:val="00895EFF"/>
    <w:rsid w:val="00926AE6"/>
    <w:rsid w:val="009D2AC8"/>
    <w:rsid w:val="00A07B70"/>
    <w:rsid w:val="00B034E8"/>
    <w:rsid w:val="00B77B5D"/>
    <w:rsid w:val="00BA5262"/>
    <w:rsid w:val="00BF7F02"/>
    <w:rsid w:val="00C14F72"/>
    <w:rsid w:val="00CB58EF"/>
    <w:rsid w:val="00CE4ACE"/>
    <w:rsid w:val="00E03120"/>
    <w:rsid w:val="00E568D6"/>
    <w:rsid w:val="00E95359"/>
    <w:rsid w:val="00F15905"/>
    <w:rsid w:val="00F27EDE"/>
    <w:rsid w:val="00F315B9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06765-0DDE-4999-BD78-1086F83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FDA5C9-ABFB-435D-9F58-D6C845CA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Ивушка-16</cp:lastModifiedBy>
  <cp:revision>5</cp:revision>
  <cp:lastPrinted>2021-05-26T12:35:00Z</cp:lastPrinted>
  <dcterms:created xsi:type="dcterms:W3CDTF">2021-06-02T08:45:00Z</dcterms:created>
  <dcterms:modified xsi:type="dcterms:W3CDTF">2021-06-09T12:37:00Z</dcterms:modified>
</cp:coreProperties>
</file>